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9.0 -->
  <w:body>
    <w:p>
      <w:pPr>
        <w:pStyle w:val="Heading1"/>
        <w:keepNext w:val="0"/>
        <w:keepLines w:val="0"/>
        <w:widowControl/>
        <w:shd w:val="clear" w:color="auto" w:fill="FFFFFF"/>
        <w:spacing w:before="0" w:after="300"/>
        <w:ind w:left="0" w:right="0" w:firstLine="0"/>
        <w:jc w:val="left"/>
        <w:rPr>
          <w:rFonts w:ascii="Verdana" w:eastAsia="Verdana" w:hAnsi="Verdana" w:cs="Verdana"/>
          <w:b w:val="0"/>
          <w:bCs w:val="0"/>
          <w:i w:val="0"/>
          <w:iCs w:val="0"/>
          <w:caps w:val="0"/>
          <w:color w:val="000000"/>
          <w:spacing w:val="0"/>
          <w:sz w:val="38"/>
          <w:szCs w:val="38"/>
        </w:rPr>
      </w:pPr>
      <w:r>
        <w:rPr>
          <w:rFonts w:ascii="Verdana" w:eastAsia="Verdana" w:hAnsi="Verdana" w:cs="Verdana"/>
          <w:b w:val="0"/>
          <w:bCs w:val="0"/>
          <w:iCs w:val="0"/>
          <w:caps w:val="0"/>
          <w:color w:val="000000"/>
          <w:spacing w:val="0"/>
          <w:sz w:val="38"/>
          <w:szCs w:val="38"/>
        </w:rPr>
        <w:t>ПОСТАНОВЛЕНИЕ от 02 декабря 2022 г. № 231</w:t>
      </w:r>
    </w:p>
    <w:p>
      <w:pPr>
        <w:pStyle w:val="news-date-time"/>
        <w:widowControl/>
        <w:shd w:val="clear" w:color="auto" w:fill="FFFFFF"/>
        <w:spacing w:after="105"/>
        <w:ind w:firstLine="0"/>
        <w:jc w:val="left"/>
        <w:rPr>
          <w:rFonts w:ascii="Verdana" w:eastAsia="Verdana" w:hAnsi="Verdana" w:cs="Verdana"/>
          <w:b w:val="0"/>
          <w:bCs w:val="0"/>
          <w:i w:val="0"/>
          <w:iCs w:val="0"/>
          <w:caps w:val="0"/>
          <w:color w:val="486DAA"/>
          <w:spacing w:val="0"/>
          <w:sz w:val="20"/>
          <w:szCs w:val="20"/>
        </w:rPr>
      </w:pPr>
      <w:r>
        <w:rPr>
          <w:rFonts w:ascii="Verdana" w:eastAsia="Verdana" w:hAnsi="Verdana" w:cs="Verdana"/>
          <w:b w:val="0"/>
          <w:bCs w:val="0"/>
          <w:i w:val="0"/>
          <w:iCs w:val="0"/>
          <w:caps w:val="0"/>
          <w:color w:val="486DAA"/>
          <w:spacing w:val="0"/>
          <w:sz w:val="20"/>
          <w:szCs w:val="20"/>
        </w:rPr>
        <w:t>06.12.2022</w:t>
      </w:r>
    </w:p>
    <w:p>
      <w:pPr>
        <w:widowControl/>
        <w:shd w:val="clear" w:color="auto" w:fill="FFFFFF"/>
        <w:ind w:firstLine="0"/>
        <w:jc w:val="center"/>
        <w:rPr>
          <w:rFonts w:ascii="Verdana" w:eastAsia="Verdana" w:hAnsi="Verdana" w:cs="Verdana"/>
          <w:b w:val="0"/>
          <w:bCs w:val="0"/>
          <w:i w:val="0"/>
          <w:iCs w:val="0"/>
          <w:caps w:val="0"/>
          <w:color w:val="000000"/>
          <w:spacing w:val="0"/>
          <w:sz w:val="20"/>
          <w:szCs w:val="20"/>
        </w:rPr>
      </w:pPr>
      <w:r>
        <w:rPr>
          <w:rFonts w:ascii="Verdana" w:eastAsia="Verdana" w:hAnsi="Verdana" w:cs="Verdana"/>
          <w:b w:val="0"/>
          <w:bCs w:val="0"/>
          <w:i w:val="0"/>
          <w:iCs w:val="0"/>
          <w:caps w:val="0"/>
          <w:strike w:val="0"/>
          <w:color w:val="000000"/>
          <w:spacing w:val="0"/>
          <w:sz w:val="20"/>
          <w:szCs w:val="20"/>
          <w:u w:val="none"/>
          <w:bdr w:val="none" w:sz="0" w:space="0" w:color="auto"/>
        </w:rPr>
        <w:drawing>
          <wp:inline>
            <wp:extent cx="571500" cy="571500"/>
            <wp:docPr id="100001" name="" descr="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571500" cy="571500"/>
                    </a:xfrm>
                    <a:prstGeom prst="rect">
                      <a:avLst/>
                    </a:prstGeom>
                    <a:ln>
                      <a:noFill/>
                    </a:ln>
                  </pic:spPr>
                </pic:pic>
              </a:graphicData>
            </a:graphic>
          </wp:inline>
        </w:drawing>
      </w:r>
    </w:p>
    <w:p>
      <w:pPr>
        <w:widowControl/>
        <w:shd w:val="clear" w:color="auto" w:fill="FFFFFF"/>
        <w:ind w:firstLine="0"/>
        <w:jc w:val="center"/>
        <w:rPr>
          <w:rFonts w:ascii="Verdana" w:eastAsia="Verdana" w:hAnsi="Verdana" w:cs="Verdana"/>
          <w:b w:val="0"/>
          <w:bCs w:val="0"/>
          <w:i w:val="0"/>
          <w:iCs w:val="0"/>
          <w:caps w:val="0"/>
          <w:color w:val="000000"/>
          <w:spacing w:val="0"/>
          <w:sz w:val="20"/>
          <w:szCs w:val="20"/>
        </w:rPr>
      </w:pPr>
      <w:r>
        <w:rPr>
          <w:rFonts w:ascii="Verdana" w:eastAsia="Verdana" w:hAnsi="Verdana" w:cs="Verdana"/>
          <w:b/>
          <w:bCs/>
          <w:i w:val="0"/>
          <w:iCs w:val="0"/>
          <w:caps w:val="0"/>
          <w:color w:val="1D5586"/>
          <w:spacing w:val="0"/>
          <w:sz w:val="20"/>
          <w:szCs w:val="20"/>
        </w:rPr>
        <w:t>ГЛАВА ГОРОДСКОГО ОКРУГА </w:t>
      </w:r>
      <w:r>
        <w:rPr>
          <w:rFonts w:ascii="Verdana" w:eastAsia="Verdana" w:hAnsi="Verdana" w:cs="Verdana"/>
          <w:b w:val="0"/>
          <w:bCs w:val="0"/>
          <w:i w:val="0"/>
          <w:iCs w:val="0"/>
          <w:caps w:val="0"/>
          <w:color w:val="000000"/>
          <w:spacing w:val="0"/>
          <w:sz w:val="20"/>
          <w:szCs w:val="20"/>
        </w:rPr>
        <w:br/>
      </w:r>
      <w:r>
        <w:rPr>
          <w:rFonts w:ascii="Verdana" w:eastAsia="Verdana" w:hAnsi="Verdana" w:cs="Verdana"/>
          <w:b/>
          <w:bCs/>
          <w:i w:val="0"/>
          <w:iCs w:val="0"/>
          <w:caps w:val="0"/>
          <w:color w:val="1D5586"/>
          <w:spacing w:val="0"/>
          <w:sz w:val="20"/>
          <w:szCs w:val="20"/>
        </w:rPr>
        <w:t>ГОРОД ВОРОНЕЖ</w:t>
      </w:r>
      <w:r>
        <w:rPr>
          <w:rFonts w:ascii="Verdana" w:eastAsia="Verdana" w:hAnsi="Verdana" w:cs="Verdana"/>
          <w:b/>
          <w:bCs/>
          <w:i w:val="0"/>
          <w:iCs w:val="0"/>
          <w:caps w:val="0"/>
          <w:color w:val="1D5586"/>
          <w:spacing w:val="0"/>
          <w:sz w:val="20"/>
          <w:szCs w:val="20"/>
        </w:rPr>
        <w:br/>
      </w:r>
      <w:r>
        <w:rPr>
          <w:rFonts w:ascii="Verdana" w:eastAsia="Verdana" w:hAnsi="Verdana" w:cs="Verdana"/>
          <w:b/>
          <w:bCs/>
          <w:i w:val="0"/>
          <w:iCs w:val="0"/>
          <w:caps w:val="0"/>
          <w:color w:val="1D5586"/>
          <w:spacing w:val="0"/>
          <w:sz w:val="20"/>
          <w:szCs w:val="20"/>
        </w:rPr>
        <w:t>ПОСТАНОВЛЕНИЕ</w:t>
      </w:r>
    </w:p>
    <w:p>
      <w:pPr>
        <w:widowControl/>
        <w:ind w:firstLine="0"/>
        <w:jc w:val="left"/>
        <w:rPr>
          <w:rFonts w:ascii="Verdana" w:eastAsia="Verdana" w:hAnsi="Verdana" w:cs="Verdana"/>
          <w:b w:val="0"/>
          <w:bCs w:val="0"/>
          <w:i w:val="0"/>
          <w:iCs w:val="0"/>
          <w:caps w:val="0"/>
          <w:color w:val="000000"/>
          <w:spacing w:val="0"/>
          <w:sz w:val="20"/>
          <w:szCs w:val="20"/>
          <w:shd w:val="clear" w:color="auto" w:fill="FFFFFF"/>
        </w:rPr>
      </w:pP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от 02 декабря 2022 г. № 231</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г. Воронеж</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О назначении общественных обсуждений </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по проекту решения о предоставлении </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Местной религиозной организации</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православный Приход храма-часовни в</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честь преставления святителя Митрофана,</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первого епископа Воронежского </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г. Воронежа религиозной организации</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«Воронежская епархия Русской</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православной церкви (Московский</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патриархат)» (ИНН 3663065880) разрешения</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на условно разрешенный вид</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использования земельного участка </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по ул. Арзамасская, 2п</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(кадастровый номер 36:34:0304001:523)</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Руководствуясь статьей 39 Градостроительного кодекса Российской Федерации, статьей 28 Федерального закона от 06.10.2003 № 131-ФЗ «Об общих принципах организации местного самоуправления в Российской Федерации», статьей 24 Устава городского округа город Воронеж, принятого постановлением Воронежской городской Думы от 27.10.2004 № 150-I «Об Уставе городского округа город Воронеж»,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 утвержденным решением Воронежской городской Думы от 27.05.2020 № 1430-IV «Об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 в соответствии с постановлением администрации городского округа город Воронеж от 16.11.2010 № 1060 «О комиссии по землепользованию и застройке городского округа город Воронеж», учитывая заявление Местной религиозной организации православный Приход храма-часовни в честь преставления святителя Митрофана, первого епископа Воронежского г. Воронежа религиозной организации «Воронежская епархия Русской православной церкви (Московский патриархат)» (ИНН 3663065880), глава городского округа город Воронеж постановляет:</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1. Назначить с 06.12.2022 по 23.12.2022 общественные обсуждения по проекту решения о предоставлении Местной религиозной организации православный Приход храма-часовни в честь преставления святителя Митрофана, первого епископа Воронежского г. Воронежа религиозной организации «Воронежская епархия Русской православной церкви (Московский патриархат)» (ИНН 3663065880) разрешения на условно разрешенный вид использования «Осуществление религиозных обрядов» земельного участка площадью 21496 кв. м по ул. Арзамасская, 2п, кадастровый номер 36:34:0304001:523, разрешенное использование – храм в честь святителя Митрофана Воронежского, расположенного в территориальной зоне РТ «Зона рекреационно-туристического регламента».</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2. Местом проведения общественных обсуждений определить сайт «Активный электронный гражданин» в информационно-телекоммуникационной сети «Интернет» (e-active.govvrn.ru). Разместить экспозицию проекта с 13.12.2022 по 20.12.2022.</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3. Установить, что участниками общественных обсуждений по указанному проекту решения о предоставлении разрешения на условно разрешенный вид использования земельного участка являются граждане, постоянно проживающие в пределах территориальной зоны РТ, в границах которой расположен земельный участок по ул. Арзамасская, 2п, правообладатели находящихся в границах вышеуказанной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по ул. Арзамасская, 2п, правообладатели земельных участков, прилегающих к земельному участку по ул. Арзамасская, 2п, или расположенных на них объектов капитального строительства.</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4. Организацию и проведение общественных обсуждений по указанному проекту решения о предоставлении разрешения на условно разрешенный вид использования земельного участка поручить комиссии по землепользованию и застройке городского округа город Воронеж (далее – Рабочий орган).</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Местонахождение Рабочего органа: г. Воронеж, ул. Кольцовская, 45 (управление главного архитектора администрации городского округа город Воронеж), тел.: (473) 228-37-46, (473) 228-36-69, приемные часы в рабочие дни: с 9.00 до 18.00.</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5. Предложить участникам общественных обсуждений в течение всего периода размещения на официальном сайте и (или) информационном ресурсе экспозиции указанного проекта решения о предоставлении разрешения на условно разрешенный вид использования земельного участка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 а также в письменной форме или в форме электронного документа в адрес Рабочего органа. </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6. Рабочему органу:</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6.1.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условно разрешенный вид использования земельного участка в электронном виде на информационном ресурсе.</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6.2. В срок до 23.12.2022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7. Управлению информации администрации городского округа город Воронеж:</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7.1. Опубликовать в установленном порядке настоящее постановление, приложение (оповещение о начале общественных обсуждений) к нему.</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7.2. Дополнительно разместить указанные акты на официальных сайтах администрации городского округа город Воронеж (voronezh-city.ru), управления главного архитектора администрации городского округа город Воронеж (uga.voronezh-city.ru), а также на сайте «Активный электронный гражданин» в сети Интернет.</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8.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А.В.</w:t>
      </w:r>
      <w:r>
        <w:rPr>
          <w:rFonts w:ascii="Verdana" w:eastAsia="Verdana" w:hAnsi="Verdana" w:cs="Verdana"/>
          <w:b w:val="0"/>
          <w:bCs w:val="0"/>
          <w:i w:val="0"/>
          <w:iCs w:val="0"/>
          <w:caps w:val="0"/>
          <w:color w:val="000000"/>
          <w:spacing w:val="0"/>
          <w:sz w:val="20"/>
          <w:szCs w:val="20"/>
          <w:shd w:val="clear" w:color="auto" w:fill="FFFFFF"/>
        </w:rPr>
        <w:br/>
      </w:r>
    </w:p>
    <w:p>
      <w:pPr>
        <w:widowControl/>
        <w:shd w:val="clear" w:color="auto" w:fill="FFFFFF"/>
        <w:spacing w:before="196"/>
        <w:ind w:firstLine="0"/>
        <w:jc w:val="right"/>
        <w:rPr>
          <w:rFonts w:ascii="Verdana" w:eastAsia="Verdana" w:hAnsi="Verdana" w:cs="Verdana"/>
          <w:b w:val="0"/>
          <w:bCs w:val="0"/>
          <w:i w:val="0"/>
          <w:iCs w:val="0"/>
          <w:caps w:val="0"/>
          <w:color w:val="000000"/>
          <w:spacing w:val="0"/>
          <w:sz w:val="20"/>
          <w:szCs w:val="20"/>
        </w:rPr>
      </w:pPr>
      <w:r>
        <w:rPr>
          <w:rFonts w:ascii="Verdana" w:eastAsia="Verdana" w:hAnsi="Verdana" w:cs="Verdana"/>
          <w:b/>
          <w:bCs/>
          <w:i w:val="0"/>
          <w:iCs w:val="0"/>
          <w:caps w:val="0"/>
          <w:color w:val="1D5586"/>
          <w:spacing w:val="0"/>
          <w:sz w:val="20"/>
          <w:szCs w:val="20"/>
        </w:rPr>
        <w:t>Исполняющий обязанности</w:t>
      </w:r>
      <w:r>
        <w:rPr>
          <w:rFonts w:ascii="Verdana" w:eastAsia="Verdana" w:hAnsi="Verdana" w:cs="Verdana"/>
          <w:b w:val="0"/>
          <w:bCs w:val="0"/>
          <w:i w:val="0"/>
          <w:iCs w:val="0"/>
          <w:caps w:val="0"/>
          <w:color w:val="000000"/>
          <w:spacing w:val="0"/>
          <w:sz w:val="20"/>
          <w:szCs w:val="20"/>
        </w:rPr>
        <w:br/>
      </w:r>
      <w:r>
        <w:rPr>
          <w:rFonts w:ascii="Verdana" w:eastAsia="Verdana" w:hAnsi="Verdana" w:cs="Verdana"/>
          <w:b/>
          <w:bCs/>
          <w:i w:val="0"/>
          <w:iCs w:val="0"/>
          <w:caps w:val="0"/>
          <w:color w:val="1D5586"/>
          <w:spacing w:val="0"/>
          <w:sz w:val="20"/>
          <w:szCs w:val="20"/>
        </w:rPr>
        <w:t>главы городского округа</w:t>
      </w:r>
      <w:r>
        <w:rPr>
          <w:rFonts w:ascii="Verdana" w:eastAsia="Verdana" w:hAnsi="Verdana" w:cs="Verdana"/>
          <w:b w:val="0"/>
          <w:bCs w:val="0"/>
          <w:i w:val="0"/>
          <w:iCs w:val="0"/>
          <w:caps w:val="0"/>
          <w:color w:val="000000"/>
          <w:spacing w:val="0"/>
          <w:sz w:val="20"/>
          <w:szCs w:val="20"/>
        </w:rPr>
        <w:br/>
      </w:r>
      <w:r>
        <w:rPr>
          <w:rFonts w:ascii="Verdana" w:eastAsia="Verdana" w:hAnsi="Verdana" w:cs="Verdana"/>
          <w:b/>
          <w:bCs/>
          <w:i w:val="0"/>
          <w:iCs w:val="0"/>
          <w:caps w:val="0"/>
          <w:color w:val="1D5586"/>
          <w:spacing w:val="0"/>
          <w:sz w:val="20"/>
          <w:szCs w:val="20"/>
        </w:rPr>
        <w:t>город Воронеж С.А. Петрин</w:t>
      </w:r>
    </w:p>
    <w:sectPr>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Calibri" w:eastAsia="Calibri" w:hAnsi="Calibri" w:cs="Calibri"/>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Calibri" w:eastAsia="Calibri" w:hAnsi="Calibri" w:cs="Calibri"/>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Calibri" w:eastAsia="Calibri" w:hAnsi="Calibri" w:cs="Calibri"/>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Calibri" w:eastAsia="Calibri" w:hAnsi="Calibri" w:cs="Calibri"/>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Calibri" w:eastAsia="Calibri" w:hAnsi="Calibri" w:cs="Calibri"/>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Calibri" w:eastAsia="Calibri" w:hAnsi="Calibri" w:cs="Calibri"/>
      <w:b/>
      <w:bCs/>
      <w:i w:val="0"/>
      <w:color w:val="1F3763" w:themeShade="7F"/>
      <w:sz w:val="16"/>
      <w:szCs w:val="16"/>
    </w:rPr>
  </w:style>
  <w:style w:type="character" w:default="1" w:styleId="DefaultParagraphFont">
    <w:name w:val="Default Paragraph Font"/>
    <w:semiHidden/>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news-date-time">
    <w:name w:val="news-date-time"/>
    <w:basedOn w:val="Normal"/>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